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37B" w14:textId="77777777" w:rsidR="00AB0D31" w:rsidRDefault="000A64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D2A777" wp14:editId="796F569F">
            <wp:extent cx="2196000" cy="940203"/>
            <wp:effectExtent l="0" t="0" r="0" b="0"/>
            <wp:docPr id="1" name="image2.png" descr="BH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HS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940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1A2EC" w14:textId="0087ACC2" w:rsidR="00AB0D31" w:rsidRDefault="00AB0D31">
      <w:pPr>
        <w:rPr>
          <w:u w:val="single"/>
        </w:rPr>
      </w:pPr>
    </w:p>
    <w:p w14:paraId="6FFB32D0" w14:textId="22214EED" w:rsidR="00630701" w:rsidRDefault="00630701">
      <w:pPr>
        <w:rPr>
          <w:u w:val="single"/>
        </w:rPr>
      </w:pPr>
      <w:r>
        <w:rPr>
          <w:u w:val="single"/>
        </w:rPr>
        <w:t>Bristol Henleaze Swimming Club Changing Room Policy</w:t>
      </w:r>
    </w:p>
    <w:p w14:paraId="72DDB0B6" w14:textId="3DD1356C" w:rsidR="00630701" w:rsidRDefault="00630701">
      <w:pPr>
        <w:rPr>
          <w:u w:val="single"/>
        </w:rPr>
      </w:pPr>
    </w:p>
    <w:p w14:paraId="1DFB3B17" w14:textId="1DC4ABC9" w:rsidR="00630701" w:rsidRDefault="00630701">
      <w:r>
        <w:t xml:space="preserve">This policy is based on Swim England’s </w:t>
      </w:r>
      <w:proofErr w:type="spellStart"/>
      <w:proofErr w:type="gramStart"/>
      <w:r>
        <w:t>Wavepower</w:t>
      </w:r>
      <w:proofErr w:type="spellEnd"/>
      <w:r w:rsidR="003F40DE">
        <w:t xml:space="preserve"> </w:t>
      </w:r>
      <w:r>
        <w:t xml:space="preserve"> </w:t>
      </w:r>
      <w:r w:rsidR="003F40DE">
        <w:t>(</w:t>
      </w:r>
      <w:proofErr w:type="gramEnd"/>
      <w:r w:rsidR="003F40DE" w:rsidRPr="003F40DE">
        <w:t>https://www.swimming.org/swimengland/wavepower-child-safeguarding-for-clubs/</w:t>
      </w:r>
      <w:r w:rsidR="003F40DE">
        <w:t>)</w:t>
      </w:r>
    </w:p>
    <w:p w14:paraId="6A426F57" w14:textId="11B64B5A" w:rsidR="00630701" w:rsidRDefault="00630701"/>
    <w:p w14:paraId="19758102" w14:textId="70E09C23" w:rsidR="00630701" w:rsidRPr="00630701" w:rsidRDefault="00630701">
      <w:pPr>
        <w:rPr>
          <w:b/>
          <w:bCs/>
          <w:color w:val="4F81BD" w:themeColor="accent1"/>
        </w:rPr>
      </w:pPr>
      <w:r w:rsidRPr="00630701">
        <w:rPr>
          <w:b/>
          <w:bCs/>
          <w:color w:val="4F81BD" w:themeColor="accent1"/>
        </w:rPr>
        <w:t>Duty of care to swimmers in changing facilities</w:t>
      </w:r>
    </w:p>
    <w:p w14:paraId="73D2D0C4" w14:textId="799FD853" w:rsidR="00630701" w:rsidRDefault="00630701">
      <w:pPr>
        <w:rPr>
          <w:color w:val="4F81BD" w:themeColor="accent1"/>
        </w:rPr>
      </w:pPr>
    </w:p>
    <w:p w14:paraId="5C0A7C0D" w14:textId="57014C9D" w:rsidR="00B6677B" w:rsidRDefault="00630701" w:rsidP="00B66946">
      <w:pPr>
        <w:pStyle w:val="ListParagraph"/>
        <w:numPr>
          <w:ilvl w:val="3"/>
          <w:numId w:val="5"/>
        </w:numPr>
        <w:ind w:left="360"/>
      </w:pPr>
      <w:r>
        <w:t xml:space="preserve">Under the </w:t>
      </w:r>
      <w:r w:rsidR="00B6677B">
        <w:t xml:space="preserve">duty of care to safeguard members, the club and parents/guardians have a joint responsibility for the wellbeing of childing in the changing rooms.  </w:t>
      </w:r>
      <w:r>
        <w:t xml:space="preserve">  </w:t>
      </w:r>
    </w:p>
    <w:p w14:paraId="14323A8A" w14:textId="77777777" w:rsidR="00B6677B" w:rsidRPr="00B6677B" w:rsidRDefault="00B6677B" w:rsidP="00B66946">
      <w:pPr>
        <w:pStyle w:val="ListParagraph"/>
        <w:numPr>
          <w:ilvl w:val="3"/>
          <w:numId w:val="5"/>
        </w:numPr>
        <w:ind w:left="360"/>
      </w:pPr>
      <w:r>
        <w:t xml:space="preserve">Parents/Guardians of children under the age of 8 years old must remain within the pool area for the duration of the swimming session.  </w:t>
      </w:r>
    </w:p>
    <w:p w14:paraId="67E4F66E" w14:textId="72B088BB" w:rsidR="00B6677B" w:rsidRDefault="00B6677B" w:rsidP="00B66946">
      <w:pPr>
        <w:pStyle w:val="ListParagraph"/>
        <w:numPr>
          <w:ilvl w:val="3"/>
          <w:numId w:val="5"/>
        </w:numPr>
        <w:ind w:left="360"/>
      </w:pPr>
      <w:r>
        <w:t>Parents/</w:t>
      </w:r>
      <w:r w:rsidR="00B66946">
        <w:t>Guardians</w:t>
      </w:r>
      <w:r>
        <w:t xml:space="preserve"> of children with additional needs should </w:t>
      </w:r>
      <w:r w:rsidR="00B66946">
        <w:t>agree with the coach where they will be during the session.</w:t>
      </w:r>
    </w:p>
    <w:p w14:paraId="07CFE81D" w14:textId="137EBF02" w:rsidR="00B66946" w:rsidRDefault="00B66946" w:rsidP="00B66946">
      <w:pPr>
        <w:pStyle w:val="ListParagraph"/>
        <w:numPr>
          <w:ilvl w:val="3"/>
          <w:numId w:val="5"/>
        </w:numPr>
        <w:ind w:left="360"/>
      </w:pPr>
      <w:r>
        <w:t xml:space="preserve">While the children are training, they remain under the responsibility and care of coaches/teachers. </w:t>
      </w:r>
    </w:p>
    <w:p w14:paraId="6DA8BC9F" w14:textId="77777777" w:rsidR="003F40DE" w:rsidRDefault="00B66946" w:rsidP="00B66946">
      <w:pPr>
        <w:pStyle w:val="ListParagraph"/>
        <w:numPr>
          <w:ilvl w:val="3"/>
          <w:numId w:val="5"/>
        </w:numPr>
        <w:ind w:left="360"/>
      </w:pPr>
      <w:r>
        <w:t>Parents/Guardians should be at the venue at the end of the session to take over the responsibility of their child once they leave poolside.</w:t>
      </w:r>
    </w:p>
    <w:p w14:paraId="7CD13DA2" w14:textId="56050DE6" w:rsidR="00B66946" w:rsidRDefault="006714BA" w:rsidP="00B66946">
      <w:pPr>
        <w:pStyle w:val="ListParagraph"/>
        <w:numPr>
          <w:ilvl w:val="3"/>
          <w:numId w:val="5"/>
        </w:numPr>
        <w:ind w:left="360"/>
      </w:pPr>
      <w:r>
        <w:t xml:space="preserve">Parents/Guardians should not be alone in the changing room whilst children are changing, unless their child is of an age where help is required from parents/guardians or if the child requires additional specific assistance.  This is generally at an age stipulated by the pool operator (age 8 for </w:t>
      </w:r>
      <w:proofErr w:type="gramStart"/>
      <w:r>
        <w:t>the majority of</w:t>
      </w:r>
      <w:proofErr w:type="gramEnd"/>
      <w:r>
        <w:t xml:space="preserve"> the pools we use).  In circumstances where children are of an age where assistance is required the parent/guardian must be the same gender as the child unless the facility has family changing facilities or is a mixed changing village.  </w:t>
      </w:r>
      <w:r w:rsidR="00882FF4">
        <w:br/>
      </w:r>
    </w:p>
    <w:p w14:paraId="0FF18F65" w14:textId="13A3FB6F" w:rsidR="00882FF4" w:rsidRPr="00882FF4" w:rsidRDefault="00882FF4" w:rsidP="00882FF4"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Changing facilities at venues used by the club</w:t>
      </w:r>
    </w:p>
    <w:p w14:paraId="38B18DC8" w14:textId="14F198CF" w:rsidR="00B66946" w:rsidRDefault="00B66946" w:rsidP="00B66946"/>
    <w:p w14:paraId="1380071E" w14:textId="2E6977B5" w:rsidR="00882FF4" w:rsidRDefault="00882FF4" w:rsidP="00882FF4">
      <w:pPr>
        <w:pStyle w:val="ListParagraph"/>
        <w:numPr>
          <w:ilvl w:val="0"/>
          <w:numId w:val="10"/>
        </w:numPr>
      </w:pPr>
      <w:r>
        <w:t>Clifton High School has separate sex changing rooms and showers</w:t>
      </w:r>
      <w:r w:rsidR="006714BA">
        <w:t xml:space="preserve"> and an area for parents/guardians to assist younger children where they are not the same gender as the </w:t>
      </w:r>
      <w:proofErr w:type="gramStart"/>
      <w:r w:rsidR="006714BA">
        <w:t>child</w:t>
      </w:r>
      <w:proofErr w:type="gramEnd"/>
    </w:p>
    <w:p w14:paraId="1A00AC4C" w14:textId="7E7EA53B" w:rsidR="00882FF4" w:rsidRDefault="00882FF4" w:rsidP="00882FF4">
      <w:pPr>
        <w:pStyle w:val="ListParagraph"/>
        <w:numPr>
          <w:ilvl w:val="0"/>
          <w:numId w:val="10"/>
        </w:numPr>
      </w:pPr>
      <w:r>
        <w:t xml:space="preserve">Horfield Leisure Centre is a mixed changing village shared with the </w:t>
      </w:r>
      <w:proofErr w:type="gramStart"/>
      <w:r>
        <w:t>public</w:t>
      </w:r>
      <w:proofErr w:type="gramEnd"/>
    </w:p>
    <w:p w14:paraId="07CFAB08" w14:textId="68F51EDC" w:rsidR="003F40DE" w:rsidRDefault="003F40DE" w:rsidP="003F40DE">
      <w:pPr>
        <w:pStyle w:val="ListParagraph"/>
        <w:numPr>
          <w:ilvl w:val="0"/>
          <w:numId w:val="10"/>
        </w:numPr>
      </w:pPr>
      <w:r>
        <w:t xml:space="preserve">Bristol University pool has separate sex changing rooms and </w:t>
      </w:r>
      <w:proofErr w:type="gramStart"/>
      <w:r>
        <w:t>showers</w:t>
      </w:r>
      <w:proofErr w:type="gramEnd"/>
    </w:p>
    <w:p w14:paraId="5B95B3A8" w14:textId="1ADB27D3" w:rsidR="007A3DF9" w:rsidRDefault="007A3DF9" w:rsidP="007A3DF9"/>
    <w:p w14:paraId="03FFC174" w14:textId="03E3EA4D" w:rsidR="007A3DF9" w:rsidRPr="00882FF4" w:rsidRDefault="007A3DF9" w:rsidP="007A3DF9"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Swimmers conduct whilst using changing facilities</w:t>
      </w:r>
    </w:p>
    <w:p w14:paraId="05AD2416" w14:textId="77777777" w:rsidR="007A3DF9" w:rsidRDefault="007A3DF9" w:rsidP="007A3DF9"/>
    <w:p w14:paraId="64938D76" w14:textId="1C69A430" w:rsidR="007A3DF9" w:rsidRDefault="007A3DF9" w:rsidP="007A3DF9">
      <w:pPr>
        <w:pStyle w:val="ListParagraph"/>
        <w:numPr>
          <w:ilvl w:val="0"/>
          <w:numId w:val="11"/>
        </w:numPr>
      </w:pPr>
      <w:r>
        <w:t>Swimmers must respect the privacy of others in the changing rooms.</w:t>
      </w:r>
    </w:p>
    <w:p w14:paraId="1BCC977D" w14:textId="17EBC6B3" w:rsidR="007A3DF9" w:rsidRDefault="007A3DF9" w:rsidP="007A3DF9">
      <w:pPr>
        <w:pStyle w:val="ListParagraph"/>
        <w:numPr>
          <w:ilvl w:val="0"/>
          <w:numId w:val="11"/>
        </w:numPr>
      </w:pPr>
      <w:r>
        <w:t xml:space="preserve">The use of mobile phones </w:t>
      </w:r>
      <w:r w:rsidR="003F40DE">
        <w:t xml:space="preserve">or other devices capable of capturing images or video </w:t>
      </w:r>
      <w:r>
        <w:t>in the changing rooms is not permitted</w:t>
      </w:r>
      <w:r w:rsidR="003F40DE">
        <w:t xml:space="preserve"> under any circumstances</w:t>
      </w:r>
      <w:r>
        <w:t xml:space="preserve">.  Any person seen using a mobile phone in the changing rooms </w:t>
      </w:r>
      <w:r w:rsidR="003F40DE">
        <w:t xml:space="preserve">must </w:t>
      </w:r>
      <w:r>
        <w:t>be reported to pool management immediately and the club Welfare Officer informed.</w:t>
      </w:r>
      <w:r w:rsidR="003F40DE">
        <w:t xml:space="preserve">  If there is a suspicion that a device could have been used to capture images or video the club </w:t>
      </w:r>
      <w:r w:rsidR="003F40DE">
        <w:rPr>
          <w:b/>
          <w:bCs/>
        </w:rPr>
        <w:t>must</w:t>
      </w:r>
      <w:r w:rsidR="003F40DE">
        <w:t xml:space="preserve"> report this to the police and Swim England as per </w:t>
      </w:r>
      <w:proofErr w:type="spellStart"/>
      <w:r w:rsidR="003F40DE">
        <w:t>Wavepower</w:t>
      </w:r>
      <w:proofErr w:type="spellEnd"/>
      <w:r w:rsidR="003F40DE">
        <w:t xml:space="preserve"> policy.  </w:t>
      </w:r>
    </w:p>
    <w:p w14:paraId="1C744F30" w14:textId="488D3AF1" w:rsidR="007A3DF9" w:rsidRDefault="007A3DF9" w:rsidP="007A3DF9">
      <w:pPr>
        <w:pStyle w:val="ListParagraph"/>
        <w:numPr>
          <w:ilvl w:val="0"/>
          <w:numId w:val="11"/>
        </w:numPr>
      </w:pPr>
      <w:r>
        <w:t>The club has high expectations of behaviour and language of its swimmers in the changing rooms.  Every club member is required to be responsible and respectful to all users/valuables/premises and not cause disruption.</w:t>
      </w:r>
    </w:p>
    <w:p w14:paraId="6D1B0318" w14:textId="42AD462C" w:rsidR="007A3DF9" w:rsidRDefault="007A3DF9" w:rsidP="007A3DF9">
      <w:pPr>
        <w:pStyle w:val="ListParagraph"/>
        <w:numPr>
          <w:ilvl w:val="0"/>
          <w:numId w:val="11"/>
        </w:numPr>
      </w:pPr>
      <w:r>
        <w:t>Swimmers should change in cubicles where provided, not open changing areas.</w:t>
      </w:r>
    </w:p>
    <w:p w14:paraId="5441318C" w14:textId="6416A571" w:rsidR="00B66946" w:rsidRDefault="00B66946" w:rsidP="00B66946"/>
    <w:p w14:paraId="4862E63C" w14:textId="1599B697" w:rsidR="00B66946" w:rsidRPr="00630701" w:rsidRDefault="00B66946" w:rsidP="00B66946">
      <w:p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lastRenderedPageBreak/>
        <w:t>Responsibility during a club session</w:t>
      </w:r>
    </w:p>
    <w:p w14:paraId="53D5DB3B" w14:textId="77777777" w:rsidR="00B66946" w:rsidRDefault="00B66946" w:rsidP="00B66946"/>
    <w:p w14:paraId="284415F8" w14:textId="61CFB3CC" w:rsidR="00B6677B" w:rsidRDefault="00B66946" w:rsidP="00B66946">
      <w:pPr>
        <w:pStyle w:val="ListParagraph"/>
        <w:numPr>
          <w:ilvl w:val="0"/>
          <w:numId w:val="9"/>
        </w:numPr>
      </w:pPr>
      <w:r>
        <w:t>While a child is training or being taught</w:t>
      </w:r>
      <w:r w:rsidR="00904B23">
        <w:t xml:space="preserve">, they remain under the responsibility and duty of care of the person who is teaching or coaching them at that time.  </w:t>
      </w:r>
    </w:p>
    <w:p w14:paraId="78317B0A" w14:textId="4C4F4FA3" w:rsidR="00904B23" w:rsidRDefault="00904B23" w:rsidP="00B66946">
      <w:pPr>
        <w:pStyle w:val="ListParagraph"/>
        <w:numPr>
          <w:ilvl w:val="0"/>
          <w:numId w:val="9"/>
        </w:numPr>
      </w:pPr>
      <w:r>
        <w:t>If a member goes out of the pool area, the coach or teacher should be aware of this.  If the child fails to return within a reasonable time, or appears to be upset leaving the poolside, the coach/teacher should request a suitable official to check on them. It Is best practice for two persons to look for the member (the second person could be a senior member or a parent/guardian).</w:t>
      </w:r>
    </w:p>
    <w:p w14:paraId="19AEF7A9" w14:textId="7185F2EA" w:rsidR="00904B23" w:rsidRDefault="00904B23" w:rsidP="00B66946">
      <w:pPr>
        <w:pStyle w:val="ListParagraph"/>
        <w:numPr>
          <w:ilvl w:val="0"/>
          <w:numId w:val="9"/>
        </w:numPr>
      </w:pPr>
      <w:r>
        <w:t xml:space="preserve">If a complaint is received about an incident that has occurred in the changing room between a member of the club and any other person, the club has a duty to act upon that </w:t>
      </w:r>
      <w:r w:rsidR="00FE7DCD">
        <w:t xml:space="preserve">concern as appropriate.  </w:t>
      </w:r>
    </w:p>
    <w:p w14:paraId="3AC4F2F8" w14:textId="4D849D44" w:rsidR="00882FF4" w:rsidRDefault="00882FF4" w:rsidP="00B66946">
      <w:pPr>
        <w:pStyle w:val="ListParagraph"/>
        <w:numPr>
          <w:ilvl w:val="0"/>
          <w:numId w:val="9"/>
        </w:numPr>
      </w:pPr>
      <w:r>
        <w:t xml:space="preserve">Where a swimmer’s pool behaviour becomes unacceptable or impinges on the safety of others, that swimmer will be asked to leave the session, the parent will be </w:t>
      </w:r>
      <w:proofErr w:type="gramStart"/>
      <w:r>
        <w:t>contacted</w:t>
      </w:r>
      <w:proofErr w:type="gramEnd"/>
      <w:r>
        <w:t xml:space="preserve"> and the swimmer will remain poolside until collected.</w:t>
      </w:r>
    </w:p>
    <w:p w14:paraId="73921975" w14:textId="1237048B" w:rsidR="00B76F50" w:rsidRDefault="00B76F50" w:rsidP="00B76F50"/>
    <w:p w14:paraId="63B60C61" w14:textId="5A05D4CE" w:rsidR="00B76F50" w:rsidRDefault="00B76F50" w:rsidP="00B76F50"/>
    <w:p w14:paraId="2CC1CE6F" w14:textId="2AAC09A3" w:rsidR="00B76F50" w:rsidRDefault="006714BA" w:rsidP="00B76F50">
      <w:r>
        <w:t xml:space="preserve">This changing room policy applies to all Swim England regulated activity.  Where swimmers attend other pools (e.g. to attend a gala) additional rules may apply.  </w:t>
      </w:r>
    </w:p>
    <w:sectPr w:rsidR="00B76F50" w:rsidSect="00DA288B">
      <w:pgSz w:w="11900" w:h="16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028"/>
    <w:multiLevelType w:val="hybridMultilevel"/>
    <w:tmpl w:val="1610B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143"/>
    <w:multiLevelType w:val="hybridMultilevel"/>
    <w:tmpl w:val="222AF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5132"/>
    <w:multiLevelType w:val="multilevel"/>
    <w:tmpl w:val="222AFF2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10C0"/>
    <w:multiLevelType w:val="hybridMultilevel"/>
    <w:tmpl w:val="726AD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3152D"/>
    <w:multiLevelType w:val="hybridMultilevel"/>
    <w:tmpl w:val="3084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F6C"/>
    <w:multiLevelType w:val="hybridMultilevel"/>
    <w:tmpl w:val="8424D5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70E5"/>
    <w:multiLevelType w:val="hybridMultilevel"/>
    <w:tmpl w:val="A2DE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7557"/>
    <w:multiLevelType w:val="hybridMultilevel"/>
    <w:tmpl w:val="B3FEBF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694287">
    <w:abstractNumId w:val="3"/>
  </w:num>
  <w:num w:numId="2" w16cid:durableId="2113157806">
    <w:abstractNumId w:val="1"/>
  </w:num>
  <w:num w:numId="3" w16cid:durableId="1817721893">
    <w:abstractNumId w:val="8"/>
  </w:num>
  <w:num w:numId="4" w16cid:durableId="1463648103">
    <w:abstractNumId w:val="9"/>
  </w:num>
  <w:num w:numId="5" w16cid:durableId="1987279293">
    <w:abstractNumId w:val="2"/>
  </w:num>
  <w:num w:numId="6" w16cid:durableId="1213464604">
    <w:abstractNumId w:val="6"/>
  </w:num>
  <w:num w:numId="7" w16cid:durableId="222495685">
    <w:abstractNumId w:val="4"/>
  </w:num>
  <w:num w:numId="8" w16cid:durableId="1549418229">
    <w:abstractNumId w:val="5"/>
  </w:num>
  <w:num w:numId="9" w16cid:durableId="1443652434">
    <w:abstractNumId w:val="0"/>
  </w:num>
  <w:num w:numId="10" w16cid:durableId="730202128">
    <w:abstractNumId w:val="7"/>
  </w:num>
  <w:num w:numId="11" w16cid:durableId="1731225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31"/>
    <w:rsid w:val="000A64BA"/>
    <w:rsid w:val="003F40DE"/>
    <w:rsid w:val="00630701"/>
    <w:rsid w:val="006714BA"/>
    <w:rsid w:val="00733CFD"/>
    <w:rsid w:val="007A3DF9"/>
    <w:rsid w:val="00882FF4"/>
    <w:rsid w:val="008E7608"/>
    <w:rsid w:val="00904B23"/>
    <w:rsid w:val="009C156E"/>
    <w:rsid w:val="009F358F"/>
    <w:rsid w:val="00A35256"/>
    <w:rsid w:val="00AB0D31"/>
    <w:rsid w:val="00B6677B"/>
    <w:rsid w:val="00B66946"/>
    <w:rsid w:val="00B76F50"/>
    <w:rsid w:val="00D036D5"/>
    <w:rsid w:val="00DA288B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626B"/>
  <w15:docId w15:val="{F406AAAC-E6FB-9749-9C9B-1BFA0CA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ESubheaderintropara">
    <w:name w:val="SE Subheader/intro para"/>
    <w:basedOn w:val="Normal"/>
    <w:qFormat/>
    <w:rsid w:val="00733CFD"/>
    <w:pPr>
      <w:spacing w:before="120" w:after="120"/>
    </w:pPr>
    <w:rPr>
      <w:rFonts w:ascii="Arial" w:eastAsiaTheme="minorHAnsi" w:hAnsi="Arial" w:cstheme="minorBidi"/>
      <w:color w:val="2195AE"/>
      <w:sz w:val="32"/>
      <w:szCs w:val="32"/>
      <w:lang w:eastAsia="en-US"/>
    </w:rPr>
  </w:style>
  <w:style w:type="paragraph" w:customStyle="1" w:styleId="SEBodytext">
    <w:name w:val="SE Body text"/>
    <w:basedOn w:val="Normal"/>
    <w:qFormat/>
    <w:rsid w:val="00733CFD"/>
    <w:rPr>
      <w:rFonts w:ascii="Arial" w:eastAsiaTheme="minorHAnsi" w:hAnsi="Arial" w:cstheme="minorBidi"/>
      <w:color w:val="000000" w:themeColor="text1"/>
      <w:sz w:val="22"/>
      <w:lang w:eastAsia="en-US"/>
    </w:rPr>
  </w:style>
  <w:style w:type="table" w:styleId="TableGridLight">
    <w:name w:val="Grid Table Light"/>
    <w:basedOn w:val="TableNormal"/>
    <w:uiPriority w:val="40"/>
    <w:rsid w:val="00733CFD"/>
    <w:rPr>
      <w:rFonts w:ascii="Arial" w:eastAsiaTheme="minorHAnsi" w:hAnsi="Arial" w:cstheme="minorBidi"/>
      <w:sz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6677B"/>
    <w:pPr>
      <w:ind w:left="720"/>
      <w:contextualSpacing/>
    </w:pPr>
  </w:style>
  <w:style w:type="numbering" w:customStyle="1" w:styleId="CurrentList1">
    <w:name w:val="Current List1"/>
    <w:uiPriority w:val="99"/>
    <w:rsid w:val="00B669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Maddocks</cp:lastModifiedBy>
  <cp:revision>3</cp:revision>
  <dcterms:created xsi:type="dcterms:W3CDTF">2024-01-04T13:27:00Z</dcterms:created>
  <dcterms:modified xsi:type="dcterms:W3CDTF">2024-01-04T13:47:00Z</dcterms:modified>
</cp:coreProperties>
</file>